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235</w:t>
      </w:r>
    </w:p>
    <w:p>
      <w:r>
        <w:t>Bundesgericht (BGE), 2004-07-05, FR</w:t>
      </w:r>
    </w:p>
    <w:p>
      <w:r>
        <w:rPr>
          <w:b/>
        </w:rPr>
        <w:t xml:space="preserve">Quelle: </w:t>
      </w:r>
      <w:r>
        <w:t>https://mcp.opencaselaw.ch/entscheid/bge_134 III 235</w:t>
      </w:r>
    </w:p>
    <w:p>
      <w:r>
        <w:t>FR: ATF 134 III 235</w:t>
      </w:r>
    </w:p>
    <w:p>
      <w:r>
        <w:t>IT: DTF 134 III 235</w:t>
      </w:r>
    </w:p>
    <w:p>
      <w:pPr>
        <w:pStyle w:val="Heading2"/>
      </w:pPr>
      <w:r>
        <w:t>Regeste</w:t>
      </w:r>
    </w:p>
    <w:p>
      <w:r>
        <w:t>Regeste Art. 42 Abs. 1 BGG; Anforderungen an die Rechtsbegehren einer Beschwerde an das Bundesgericht. Anträge betreffend Geldforderungen sind zu beziffern (E. 2).</w:t>
      </w:r>
    </w:p>
    <w:p>
      <w:pPr>
        <w:pStyle w:val="Heading2"/>
      </w:pPr>
      <w:r>
        <w:t>Erwägungen</w:t>
      </w:r>
    </w:p>
    <w:p>
      <w:r>
        <w:rPr>
          <w:b/>
        </w:rPr>
        <w:t>E. 1</w:t>
      </w:r>
    </w:p>
    <w:p>
      <w:r>
        <w:t>Le Tribunal fédéral examine d'office la recevabilité des recours qui lui sont soumis ( ATF 133 III 462 consid. 2 p. 465).</w:t>
      </w:r>
    </w:p>
    <w:p>
      <w:r>
        <w:rPr>
          <w:b/>
        </w:rPr>
        <w:t>E. 2</w:t>
      </w:r>
    </w:p>
    <w:p>
      <w:r>
        <w:t>La loi du 17 juin 2005 sur le Tribunal fédéral (LTF) est entrée en vigueur le 1 er janvier 2007; elle succède à la loi fédérale d'organisation judiciaire du 16 décembre 1943 (OJ). Selon la jurisprudence relative aux art. 55 al. 1 let. b et 79 al. 1 OJ, concernant les conclusions à énoncer par la partie qui recourait au Tribunal fédéral dans une contestation civile ou dans une procédure de poursuite pour dettes ou de faillite, les conclusions portant sur une somme d'argent devaient obligatoirement être chiffrées; si, d'après les conclusions présentées, le Tribunal fédéral se trouvait requis de fixer lui-même le montant réclamé, le recours était irrecevable ( ATF 121 III 390 ). Des conclusions non chiffrées suffisaient à condition que la somme à allouer fût d'emblée reconnaissable au regard de la motivation du recours ou de la décision attaquée ( ATF 78 II 445 consid. 1 p. 448; ATF 125 III 412 consid. 1b p. 414/415). De l' art. 42 al. 1 LTF , il ressort que l'acte de recours adressé au Tribunal fédéral doit indiquer, notamment, les conclusions de la partie recourante. Or, la réforme de l'organisation judiciaire n'avait pas pour BGE 134 III 235 S. 237 but d'atténuer les exigences antérieures concernant les procédures de recours; en ce qui concerne la motivation des conclusions prises devant le Tribunal fédéral, ces exigences devaient au contraire être confirmées (Message du 28 février 2001 concernant la révision totale de l'organisation judiciaire fédérale, FF 2001 p. 4093). Il s'ensuit que les exigences antérieures concernant les conclusions elles-mêmes ont aussi été, implicitement, maintenues, et qu'en principe, elles peuvent donc être transposées dans l'application de l' art. 42 al. 1 LTF (cf. ATF 133 III 489 consid. 3). Devant le Tribunal fédéral, lorsque l'action tend au paiement d'une somme d'argent, les conclusions de la partie recourante doivent, actuellement comme auparavant, être chiffrées, sans quoi le recours est irrecevable. Le demandeur se trouve suffisamment averti de cette exigence par la procédure cantonale; néanmoins, il ne s'y conforme pas en prenant des conclusions tendant simplement aux "prestations découlant du contrat d'assurance 50'127'083". Le Tribunal fédéral n'entre donc pas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